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wmf" ContentType="image/x-wmf"/>
  <Override PartName="/word/media/image2.wmf" ContentType="image/x-wmf"/>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ConsPlusNormal"/>
        <w:numPr>
          <w:ilvl w:val="0"/>
          <w:numId w:val="0"/>
        </w:numPr>
        <w:jc w:val="right"/>
        <w:outlineLvl w:val="1"/>
        <w:rPr>
          <w:rFonts w:ascii="Times New Roman" w:hAnsi="Times New Roman" w:cs="Times New Roman"/>
        </w:rPr>
      </w:pPr>
      <w:r>
        <w:rPr>
          <w:rFonts w:cs="Times New Roman" w:ascii="Times New Roman" w:hAnsi="Times New Roman"/>
        </w:rPr>
        <w:t>Приложение 7</w:t>
      </w:r>
    </w:p>
    <w:p>
      <w:pPr>
        <w:pStyle w:val="ConsPlusNormal"/>
        <w:jc w:val="right"/>
        <w:rPr>
          <w:rFonts w:ascii="Times New Roman" w:hAnsi="Times New Roman" w:cs="Times New Roman"/>
        </w:rPr>
      </w:pPr>
      <w:r>
        <w:rPr>
          <w:rFonts w:cs="Times New Roman" w:ascii="Times New Roman" w:hAnsi="Times New Roman"/>
        </w:rPr>
        <w:t>к государственной программе</w:t>
      </w:r>
    </w:p>
    <w:p>
      <w:pPr>
        <w:pStyle w:val="ConsPlusNormal"/>
        <w:jc w:val="right"/>
        <w:rPr>
          <w:rFonts w:ascii="Times New Roman" w:hAnsi="Times New Roman" w:cs="Times New Roman"/>
        </w:rPr>
      </w:pPr>
      <w:r>
        <w:rPr>
          <w:rFonts w:cs="Times New Roman" w:ascii="Times New Roman" w:hAnsi="Times New Roman"/>
        </w:rPr>
        <w:t>"Развитие образования и науки Брянской области"</w:t>
      </w:r>
    </w:p>
    <w:p>
      <w:pPr>
        <w:pStyle w:val="ConsPlusNormal"/>
        <w:jc w:val="both"/>
        <w:rPr>
          <w:rFonts w:ascii="Times New Roman" w:hAnsi="Times New Roman" w:cs="Times New Roman"/>
        </w:rPr>
      </w:pPr>
      <w:r>
        <w:rPr>
          <w:rFonts w:cs="Times New Roman" w:ascii="Times New Roman" w:hAnsi="Times New Roman"/>
        </w:rPr>
      </w:r>
    </w:p>
    <w:p>
      <w:pPr>
        <w:pStyle w:val="ConsPlusTitle"/>
        <w:jc w:val="center"/>
        <w:rPr>
          <w:rFonts w:ascii="Times New Roman" w:hAnsi="Times New Roman" w:cs="Times New Roman"/>
        </w:rPr>
      </w:pPr>
      <w:r>
        <w:rPr>
          <w:rFonts w:cs="Times New Roman" w:ascii="Times New Roman" w:hAnsi="Times New Roman"/>
        </w:rPr>
        <w:t>Порядок</w:t>
      </w:r>
    </w:p>
    <w:p>
      <w:pPr>
        <w:pStyle w:val="ConsPlusTitle"/>
        <w:jc w:val="center"/>
        <w:rPr>
          <w:rFonts w:ascii="Times New Roman" w:hAnsi="Times New Roman" w:cs="Times New Roman"/>
        </w:rPr>
      </w:pPr>
      <w:r>
        <w:rPr>
          <w:rFonts w:cs="Times New Roman" w:ascii="Times New Roman" w:hAnsi="Times New Roman"/>
        </w:rPr>
        <w:t>предоставления субсидий бюджетам муниципальных районов</w:t>
      </w:r>
    </w:p>
    <w:p>
      <w:pPr>
        <w:pStyle w:val="ConsPlusTitle"/>
        <w:jc w:val="center"/>
        <w:rPr>
          <w:rFonts w:ascii="Times New Roman" w:hAnsi="Times New Roman" w:cs="Times New Roman"/>
        </w:rPr>
      </w:pPr>
      <w:r>
        <w:rPr>
          <w:rFonts w:cs="Times New Roman" w:ascii="Times New Roman" w:hAnsi="Times New Roman"/>
        </w:rPr>
        <w:t>(муниципальных округов, городских округов) на благоустройство зданий и территорий</w:t>
      </w:r>
    </w:p>
    <w:p>
      <w:pPr>
        <w:pStyle w:val="ConsPlusTitle"/>
        <w:jc w:val="center"/>
        <w:rPr>
          <w:rFonts w:ascii="Times New Roman" w:hAnsi="Times New Roman" w:cs="Times New Roman"/>
        </w:rPr>
      </w:pPr>
      <w:r>
        <w:rPr>
          <w:rFonts w:cs="Times New Roman" w:ascii="Times New Roman" w:hAnsi="Times New Roman"/>
        </w:rPr>
        <w:t>муниципальных образовательных организаций моногородов</w:t>
      </w:r>
    </w:p>
    <w:p>
      <w:pPr>
        <w:pStyle w:val="ConsPlusTitle"/>
        <w:jc w:val="center"/>
        <w:rPr>
          <w:rFonts w:ascii="Times New Roman" w:hAnsi="Times New Roman" w:cs="Times New Roman"/>
        </w:rPr>
      </w:pPr>
      <w:r>
        <w:rPr>
          <w:rFonts w:cs="Times New Roman" w:ascii="Times New Roman" w:hAnsi="Times New Roman"/>
        </w:rPr>
        <w:t>в рамках государственной программы</w:t>
      </w:r>
    </w:p>
    <w:p>
      <w:pPr>
        <w:pStyle w:val="ConsPlusTitle"/>
        <w:jc w:val="center"/>
        <w:rPr>
          <w:rFonts w:ascii="Times New Roman" w:hAnsi="Times New Roman" w:cs="Times New Roman"/>
        </w:rPr>
      </w:pPr>
      <w:r>
        <w:rPr>
          <w:rFonts w:cs="Times New Roman" w:ascii="Times New Roman" w:hAnsi="Times New Roman"/>
        </w:rPr>
        <w:t xml:space="preserve"> </w:t>
      </w:r>
      <w:r>
        <w:rPr>
          <w:rFonts w:cs="Times New Roman" w:ascii="Times New Roman" w:hAnsi="Times New Roman"/>
        </w:rPr>
        <w:t>"Развитие образования и науки Брянской области"</w:t>
      </w:r>
    </w:p>
    <w:p>
      <w:pPr>
        <w:pStyle w:val="Normal"/>
        <w:spacing w:before="0" w:after="1"/>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1. Настоящий Порядок устанавливает цели и условия предоставления субсидий бюджетам муниципальных районов (муниципальных округов, городских округов) на благоустройство зданий и территорий муниципальных образовательных организаций моногородов в рамках государственной программы "Развитие образования и науки Брянской области" (далее соответственно - субсидии, программа), критерии отбора муниципальных районов (муниципальных округов, городских округов) для предоставления субсидий, порядок отчетности об использовании субсидий, а также критерии оценки эффективности использования муниципальными районами (муниципальными округами, городскими округами) предоставляемых субсидий. Под "благоустройством зданий" следует понимать проведение капитального и (или) текущего ремонта зданий муниципальных образовательных организаций моногородов Брянской области.</w:t>
      </w:r>
    </w:p>
    <w:p>
      <w:pPr>
        <w:pStyle w:val="ConsPlusNormal"/>
        <w:spacing w:before="220" w:after="0"/>
        <w:ind w:firstLine="540"/>
        <w:jc w:val="both"/>
        <w:rPr>
          <w:rFonts w:ascii="Times New Roman" w:hAnsi="Times New Roman" w:cs="Times New Roman"/>
        </w:rPr>
      </w:pPr>
      <w:bookmarkStart w:id="0" w:name="P11258"/>
      <w:bookmarkEnd w:id="0"/>
      <w:r>
        <w:rPr>
          <w:rFonts w:cs="Times New Roman" w:ascii="Times New Roman" w:hAnsi="Times New Roman"/>
        </w:rPr>
        <w:t>2. Субсидии предоставляются в целях софинансирования выполнения полномочий органов местного самоуправления, связанных с финансовым обеспечением реализации мероприятий, направленных на проведение работ по благоустройству зданий и территорий муниципальных образовательных организаций моногородов Брянской области с населением не менее 50,0 тыс. человек.</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3. Субсидии предоставляются в пределах бюджетных ассигнований областного бюджета и лимитов бюджетных обязательств, доведенных до главного распорядителя средств областного бюджета в установленном порядке на цели, указанные в </w:t>
      </w:r>
      <w:hyperlink w:anchor="P11258">
        <w:r>
          <w:rPr>
            <w:rFonts w:cs="Times New Roman" w:ascii="Times New Roman" w:hAnsi="Times New Roman"/>
          </w:rPr>
          <w:t>пункте 2</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4. Главным распорядителем средств областного бюджета является департамент образования и науки Брянской области (далее - департамент).</w:t>
      </w:r>
    </w:p>
    <w:p>
      <w:pPr>
        <w:pStyle w:val="ConsPlusNormal"/>
        <w:spacing w:before="220" w:after="0"/>
        <w:ind w:firstLine="540"/>
        <w:jc w:val="both"/>
        <w:rPr>
          <w:rFonts w:ascii="Times New Roman" w:hAnsi="Times New Roman" w:cs="Times New Roman"/>
        </w:rPr>
      </w:pPr>
      <w:r>
        <w:rPr>
          <w:rFonts w:cs="Times New Roman" w:ascii="Times New Roman" w:hAnsi="Times New Roman"/>
        </w:rPr>
        <w:t>5. Общий размер субсидии i-му муниципальному району (муниципальному округу, городскому округу) (S</w:t>
      </w:r>
      <w:r>
        <w:rPr>
          <w:rFonts w:cs="Times New Roman" w:ascii="Times New Roman" w:hAnsi="Times New Roman"/>
          <w:vertAlign w:val="subscript"/>
        </w:rPr>
        <w:t>i</w:t>
      </w:r>
      <w:r>
        <w:rPr>
          <w:rFonts w:cs="Times New Roman" w:ascii="Times New Roman" w:hAnsi="Times New Roman"/>
        </w:rPr>
        <w:t>) определяется по формуле:</w:t>
      </w:r>
    </w:p>
    <w:p>
      <w:pPr>
        <w:pStyle w:val="ConsPlusNormal"/>
        <w:jc w:val="both"/>
        <w:rPr>
          <w:rFonts w:ascii="Times New Roman" w:hAnsi="Times New Roman" w:cs="Times New Roman"/>
        </w:rPr>
      </w:pPr>
      <w:r>
        <w:rPr>
          <w:rFonts w:cs="Times New Roman" w:ascii="Times New Roman" w:hAnsi="Times New Roman"/>
        </w:rPr>
      </w:r>
    </w:p>
    <w:p>
      <w:pPr>
        <w:pStyle w:val="ConsPlusNormal"/>
        <w:jc w:val="center"/>
        <w:rPr>
          <w:rFonts w:ascii="Times New Roman" w:hAnsi="Times New Roman" w:cs="Times New Roman"/>
        </w:rPr>
      </w:pPr>
      <w:r>
        <w:rPr/>
        <mc:AlternateContent>
          <mc:Choice Requires="wps">
            <w:drawing>
              <wp:inline distT="0" distB="0" distL="0" distR="0">
                <wp:extent cx="1638935" cy="495935"/>
                <wp:effectExtent l="0" t="0" r="0" b="0"/>
                <wp:docPr id="1" name=""/>
                <a:graphic xmlns:a="http://schemas.openxmlformats.org/drawingml/2006/main">
                  <a:graphicData uri="http://schemas.openxmlformats.org/drawingml/2006/picture">
                    <pic:pic xmlns:pic="http://schemas.openxmlformats.org/drawingml/2006/picture">
                      <pic:nvPicPr>
                        <pic:cNvPr id="0" name="" descr=""/>
                        <pic:cNvPicPr/>
                      </pic:nvPicPr>
                      <pic:blipFill>
                        <a:blip r:embed="rId2"/>
                        <a:stretch/>
                      </pic:blipFill>
                      <pic:spPr>
                        <a:xfrm>
                          <a:off x="0" y="0"/>
                          <a:ext cx="1638360" cy="495360"/>
                        </a:xfrm>
                        <a:prstGeom prst="rect">
                          <a:avLst/>
                        </a:prstGeom>
                        <a:ln w="0">
                          <a:noFill/>
                        </a:ln>
                      </pic:spPr>
                    </pic:pic>
                  </a:graphicData>
                </a:graphic>
              </wp:inline>
            </w:drawing>
          </mc:Choice>
          <mc:Fallback>
            <w:pict>
              <v:shapetype id="shapetype_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hape_0" stroked="f" style="position:absolute;margin-left:0pt;margin-top:-39.05pt;width:128.95pt;height:38.95pt;v-text-anchor:middle;mso-position-vertical:top" type="shapetype_75">
                <v:imagedata r:id="rId3" o:detectmouseclick="t"/>
                <w10:wrap type="none"/>
                <v:stroke color="#3465a4" joinstyle="round" endcap="flat"/>
              </v:shape>
            </w:pict>
          </mc:Fallback>
        </mc:AlternateContent>
      </w:r>
    </w:p>
    <w:p>
      <w:pPr>
        <w:pStyle w:val="ConsPlusNormal"/>
        <w:jc w:val="both"/>
        <w:rPr>
          <w:rFonts w:ascii="Times New Roman" w:hAnsi="Times New Roman" w:cs="Times New Roman"/>
        </w:rPr>
      </w:pPr>
      <w:r>
        <w:rPr>
          <w:rFonts w:cs="Times New Roman" w:ascii="Times New Roman" w:hAnsi="Times New Roman"/>
        </w:rPr>
      </w:r>
    </w:p>
    <w:p>
      <w:pPr>
        <w:pStyle w:val="ConsPlusNormal"/>
        <w:ind w:firstLine="540"/>
        <w:jc w:val="both"/>
        <w:rPr>
          <w:rFonts w:ascii="Times New Roman" w:hAnsi="Times New Roman" w:cs="Times New Roman"/>
        </w:rPr>
      </w:pPr>
      <w:r>
        <w:rPr>
          <w:rFonts w:cs="Times New Roman" w:ascii="Times New Roman" w:hAnsi="Times New Roman"/>
        </w:rPr>
        <w:t>S</w:t>
      </w:r>
      <w:r>
        <w:rPr>
          <w:rFonts w:cs="Times New Roman" w:ascii="Times New Roman" w:hAnsi="Times New Roman"/>
          <w:vertAlign w:val="subscript"/>
        </w:rPr>
        <w:t>o</w:t>
      </w:r>
      <w:r>
        <w:rPr>
          <w:rFonts w:cs="Times New Roman" w:ascii="Times New Roman" w:hAnsi="Times New Roman"/>
        </w:rPr>
        <w:t xml:space="preserve"> - объем средств, предусмотренный законом об областном бюджете на софинансирование мероприятий муниципальных программ в очередном финансовом году;</w:t>
      </w:r>
    </w:p>
    <w:p>
      <w:pPr>
        <w:pStyle w:val="ConsPlusNormal"/>
        <w:spacing w:before="220" w:after="0"/>
        <w:ind w:firstLine="540"/>
        <w:jc w:val="both"/>
        <w:rPr>
          <w:rFonts w:ascii="Times New Roman" w:hAnsi="Times New Roman" w:cs="Times New Roman"/>
        </w:rPr>
      </w:pPr>
      <w:r>
        <w:rPr>
          <w:rFonts w:cs="Times New Roman" w:ascii="Times New Roman" w:hAnsi="Times New Roman"/>
        </w:rPr>
        <w:t>Zi - объем средств на исполнение мероприятий в i-муниципальном районе (муниципальном округе, городском округе);</w:t>
      </w:r>
    </w:p>
    <w:p>
      <w:pPr>
        <w:pStyle w:val="ConsPlusNormal"/>
        <w:spacing w:before="220" w:after="0"/>
        <w:ind w:firstLine="540"/>
        <w:jc w:val="both"/>
        <w:rPr>
          <w:rFonts w:ascii="Times New Roman" w:hAnsi="Times New Roman" w:cs="Times New Roman"/>
        </w:rPr>
      </w:pPr>
      <w:r>
        <w:rPr>
          <w:rFonts w:cs="Times New Roman" w:ascii="Times New Roman" w:hAnsi="Times New Roman"/>
        </w:rPr>
        <w:t>Y</w:t>
      </w:r>
      <w:r>
        <w:rPr>
          <w:rFonts w:cs="Times New Roman" w:ascii="Times New Roman" w:hAnsi="Times New Roman"/>
          <w:vertAlign w:val="subscript"/>
        </w:rPr>
        <w:t>i</w:t>
      </w:r>
      <w:r>
        <w:rPr>
          <w:rFonts w:cs="Times New Roman" w:ascii="Times New Roman" w:hAnsi="Times New Roman"/>
        </w:rPr>
        <w:t xml:space="preserve"> - предельный уровень софинансирования расходного обязательства i-го муниципального района (муниципального округа, городского округа) из областного бюджета, утвержденный нормативным правовым актом Правительства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6. Распределение субсидий бюджетам муниципальных районов (муниципальных округов, городских округов) утверждается законом Брянской области об областном бюджете на соответствующий финансовый год и на плановый период. Внесение изменений осуществляется в соответствии с </w:t>
      </w:r>
      <w:hyperlink r:id="rId4">
        <w:r>
          <w:rPr>
            <w:rFonts w:cs="Times New Roman" w:ascii="Times New Roman" w:hAnsi="Times New Roman"/>
          </w:rPr>
          <w:t>Законом</w:t>
        </w:r>
      </w:hyperlink>
      <w:r>
        <w:rPr>
          <w:rFonts w:cs="Times New Roman" w:ascii="Times New Roman" w:hAnsi="Times New Roman"/>
        </w:rPr>
        <w:t xml:space="preserve"> Брянской области "О межбюджетных отношениях в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7. Критериями отбора муниципальных районов (муниципальных округов, городских округов) для предоставления субсидии являются:</w:t>
      </w:r>
    </w:p>
    <w:p>
      <w:pPr>
        <w:pStyle w:val="ConsPlusNormal"/>
        <w:spacing w:before="220" w:after="0"/>
        <w:ind w:firstLine="540"/>
        <w:jc w:val="both"/>
        <w:rPr>
          <w:rFonts w:ascii="Times New Roman" w:hAnsi="Times New Roman" w:cs="Times New Roman"/>
        </w:rPr>
      </w:pPr>
      <w:r>
        <w:rPr>
          <w:rFonts w:cs="Times New Roman" w:ascii="Times New Roman" w:hAnsi="Times New Roman"/>
        </w:rPr>
        <w:t>наличие в муниципальном районе населенного пункта, имеющего статус монопрофильного муниципального образования (</w:t>
      </w:r>
      <w:hyperlink r:id="rId5">
        <w:r>
          <w:rPr>
            <w:rFonts w:cs="Times New Roman" w:ascii="Times New Roman" w:hAnsi="Times New Roman"/>
          </w:rPr>
          <w:t>распоряжение</w:t>
        </w:r>
      </w:hyperlink>
      <w:r>
        <w:rPr>
          <w:rFonts w:cs="Times New Roman" w:ascii="Times New Roman" w:hAnsi="Times New Roman"/>
        </w:rPr>
        <w:t xml:space="preserve"> Правительства Российской Федерации от 29 июля 2014 года № 1398-р об утверждении перечня монопрофильных муниципальных образований Российской Федерации (моногородов);</w:t>
      </w:r>
    </w:p>
    <w:p>
      <w:pPr>
        <w:pStyle w:val="ConsPlusNormal"/>
        <w:spacing w:before="220" w:after="0"/>
        <w:ind w:firstLine="540"/>
        <w:jc w:val="both"/>
        <w:rPr>
          <w:rFonts w:ascii="Times New Roman" w:hAnsi="Times New Roman" w:cs="Times New Roman"/>
        </w:rPr>
      </w:pPr>
      <w:r>
        <w:rPr>
          <w:rFonts w:cs="Times New Roman" w:ascii="Times New Roman" w:hAnsi="Times New Roman"/>
        </w:rPr>
        <w:t>численность населения моногорода не менее 50,0 тыс. человек;</w:t>
      </w:r>
    </w:p>
    <w:p>
      <w:pPr>
        <w:pStyle w:val="ConsPlusNormal"/>
        <w:spacing w:before="220" w:after="0"/>
        <w:ind w:firstLine="540"/>
        <w:jc w:val="both"/>
        <w:rPr>
          <w:rFonts w:ascii="Times New Roman" w:hAnsi="Times New Roman" w:cs="Times New Roman"/>
        </w:rPr>
      </w:pPr>
      <w:r>
        <w:rPr>
          <w:rFonts w:cs="Times New Roman" w:ascii="Times New Roman" w:hAnsi="Times New Roman"/>
        </w:rPr>
        <w:t>наличие сметной документации, имеющей положительное заключение о достоверности определения сметной стоимости.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8. Субсидии предоставляются при условии: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а) наличия в муниципальном районе (муниципальном округе, городском округе) утвержденной муниципальной программы, включающей в себя мероприятия, предусмотренные пунктом 2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б) наличия в бюджете муниципального района (муниципального округа, городского округа) бюджетных ассигнований на исполнение расходного обязательства в объеме, рассчитанном с учетом предельного уровня софинансирования расходного обязательства муниципального района (муниципального округа, городского округа) из областного бюджета, утверждаемого нормативным правовым актом Правительства Брянской области;</w:t>
      </w:r>
    </w:p>
    <w:p>
      <w:pPr>
        <w:pStyle w:val="ConsPlusNormal"/>
        <w:spacing w:before="220" w:after="0"/>
        <w:ind w:firstLine="540"/>
        <w:jc w:val="both"/>
        <w:rPr>
          <w:rFonts w:ascii="Times New Roman" w:hAnsi="Times New Roman" w:cs="Times New Roman"/>
        </w:rPr>
      </w:pPr>
      <w:r>
        <w:rPr>
          <w:rFonts w:cs="Times New Roman" w:ascii="Times New Roman" w:hAnsi="Times New Roman"/>
        </w:rPr>
        <w:t>в) заключения между департаментом и органом местного самоуправления муниципального района (муниципального округа, городского округа) соглашения о предоставлении субсидии (далее - соглашение) в соответствии с пунктом 10 Правил формирования, предоставления и распределения субсидий из областного бюджета бюджетам муниципальных образований Брянской области, утвержденных постановлением Правительства Брянской области от 23 июля 2018 года № 362-п "Об утверждении Правил формирования, предоставления, распределения субсидий из областного бюджета бюджетам муниципальных образований Брянской области" (далее - Правила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9. Объем бюджетных ассигнований бюджета муниципального района (муниципального округа, городского округа) на финансовое обеспечение расходного обязательства муниципального района (муниципального округа, городского округа), софинансируемого за счет субсидии, утверждается решением представительного органа муниципального района (муниципального округа, городского округа) о местном бюджете (определяется сводной бюджетной росписью бюджета муниципального района (муниципального округа, городского округа)) исходя из необходимости достижения установленных соглашением значений показателей результатов использования субсидии.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10. Предоставление субсидии осуществляется на основании соглашения, подготовленного и заключенного в государственной информационной системе управления государственными и муниципальными финансами Брянской области "Электронный бюджет Брянской области" (далее - система "Электронный бюджет Брянской области"). В соглашении предусматриваются положения </w:t>
      </w:r>
      <w:hyperlink r:id="rId6">
        <w:r>
          <w:rPr>
            <w:rFonts w:cs="Times New Roman" w:ascii="Times New Roman" w:hAnsi="Times New Roman"/>
          </w:rPr>
          <w:t>пункта 10</w:t>
        </w:r>
      </w:hyperlink>
      <w:r>
        <w:rPr>
          <w:rFonts w:cs="Times New Roman" w:ascii="Times New Roman" w:hAnsi="Times New Roman"/>
        </w:rPr>
        <w:t xml:space="preserve"> Правил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При заключении соглашения орган местного самоуправления муниципального района (муниципального округа, городского округа) представляет в департамент документы, подтверждающие исполнение условий предоставления субсидии, предусмотренных </w:t>
      </w:r>
      <w:hyperlink r:id="rId7">
        <w:r>
          <w:rPr>
            <w:rFonts w:cs="Times New Roman" w:ascii="Times New Roman" w:hAnsi="Times New Roman"/>
          </w:rPr>
          <w:t>подпунктами "а"</w:t>
        </w:r>
      </w:hyperlink>
      <w:r>
        <w:rPr>
          <w:rFonts w:cs="Times New Roman" w:ascii="Times New Roman" w:hAnsi="Times New Roman"/>
        </w:rPr>
        <w:t xml:space="preserve">, </w:t>
      </w:r>
      <w:hyperlink r:id="rId8">
        <w:r>
          <w:rPr>
            <w:rFonts w:cs="Times New Roman" w:ascii="Times New Roman" w:hAnsi="Times New Roman"/>
          </w:rPr>
          <w:t>"б" пункта 8</w:t>
        </w:r>
      </w:hyperlink>
      <w:r>
        <w:rPr>
          <w:rFonts w:cs="Times New Roman" w:ascii="Times New Roman" w:hAnsi="Times New Roman"/>
        </w:rPr>
        <w:t xml:space="preserve"> Правил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11. </w:t>
      </w:r>
      <w:r>
        <w:rPr>
          <w:rFonts w:cs="Times New Roman" w:ascii="Times New Roman" w:hAnsi="Times New Roman"/>
          <w:szCs w:val="22"/>
        </w:rPr>
        <w:t>Соглашения и дополнительные соглашения к соглашению, предусматривающие внесение в него изменений и его расторжение, заключаются в системе «Электронный бюджет Брянской области» в соответствии с типовыми формами, утвержденными приказом департамента финансов Брянской области</w:t>
      </w:r>
      <w:r>
        <w:rPr>
          <w:rFonts w:cs="Times New Roman" w:ascii="Times New Roman" w:hAnsi="Times New Roman"/>
        </w:rPr>
        <w:t>.</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12. </w:t>
      </w:r>
      <w:r>
        <w:rPr>
          <w:rFonts w:cs="Times New Roman" w:ascii="Times New Roman" w:hAnsi="Times New Roman"/>
          <w:szCs w:val="22"/>
        </w:rPr>
        <w:t>Внесение в соглашение изменений, предусматривающих ухудшение значения результата использования субсидий, а также увеличение сроков реализации предусмотренных соглашением мероприятий не допускается, за исключением случаев, изменения значений показателей (индикаторов) государственной программы, а также случая сокращения размера субсидии.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13. Перечисление субсидий осуществляется в установленном порядке на счета, открытые управлению Федерального казначейства по Брянской области в учреждениях Центрального банка Российской Федерации для учета операций со средствами бюджетов муниципальных районов (муниципальных округов, городских округов).</w:t>
      </w:r>
    </w:p>
    <w:p>
      <w:pPr>
        <w:pStyle w:val="ConsPlusNormal"/>
        <w:spacing w:before="220" w:after="0"/>
        <w:ind w:firstLine="540"/>
        <w:jc w:val="both"/>
        <w:rPr>
          <w:rFonts w:ascii="Times New Roman" w:hAnsi="Times New Roman" w:cs="Times New Roman"/>
        </w:rPr>
      </w:pPr>
      <w:bookmarkStart w:id="1" w:name="P11281"/>
      <w:bookmarkEnd w:id="1"/>
      <w:r>
        <w:rPr>
          <w:rFonts w:cs="Times New Roman" w:ascii="Times New Roman" w:hAnsi="Times New Roman"/>
        </w:rPr>
        <w:t xml:space="preserve">14. Эффективность использования муниципальными районами (муниципальными округами, городскими округами) предоставленных субсидий осуществляется на основании сравнения планируемых и достигнутых значений результатов использования субсидий муниципальными районами (муниципальными округами, городскими округами). Результатом использования субсидии является количество организаций, в которых выполнены мероприятия, указанные в </w:t>
      </w:r>
      <w:hyperlink w:anchor="P11258">
        <w:r>
          <w:rPr>
            <w:rFonts w:cs="Times New Roman" w:ascii="Times New Roman" w:hAnsi="Times New Roman"/>
          </w:rPr>
          <w:t>пункте 2</w:t>
        </w:r>
      </w:hyperlink>
      <w:r>
        <w:rPr>
          <w:rFonts w:cs="Times New Roman" w:ascii="Times New Roman" w:hAnsi="Times New Roman"/>
        </w:rPr>
        <w:t xml:space="preserve">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 xml:space="preserve">15. Оценка эффективности использования муниципальным районом (муниципальным округом, городским округом) субсидии осуществляется исходя из достигнутого значения показателя результата использования субсидии, предусмотренного </w:t>
      </w:r>
      <w:hyperlink w:anchor="P11281">
        <w:r>
          <w:rPr>
            <w:rFonts w:cs="Times New Roman" w:ascii="Times New Roman" w:hAnsi="Times New Roman"/>
          </w:rPr>
          <w:t>пунктом 14</w:t>
        </w:r>
      </w:hyperlink>
      <w:r>
        <w:rPr>
          <w:rFonts w:cs="Times New Roman" w:ascii="Times New Roman" w:hAnsi="Times New Roman"/>
        </w:rPr>
        <w:t xml:space="preserve"> настоящего Порядка.</w:t>
      </w:r>
    </w:p>
    <w:p>
      <w:pPr>
        <w:pStyle w:val="ConsPlusNormal"/>
        <w:ind w:firstLine="567"/>
        <w:jc w:val="both"/>
        <w:rPr>
          <w:rFonts w:ascii="Times New Roman" w:hAnsi="Times New Roman" w:cs="Times New Roman"/>
          <w:sz w:val="24"/>
          <w:szCs w:val="24"/>
        </w:rPr>
      </w:pPr>
      <w:r>
        <w:rPr>
          <w:rFonts w:cs="Times New Roman" w:ascii="Times New Roman" w:hAnsi="Times New Roman"/>
        </w:rPr>
        <w:t xml:space="preserve">16. </w:t>
      </w:r>
      <w:r>
        <w:rPr>
          <w:rFonts w:cs="Times New Roman" w:ascii="Times New Roman" w:hAnsi="Times New Roman"/>
          <w:sz w:val="24"/>
          <w:szCs w:val="24"/>
        </w:rPr>
        <w:t xml:space="preserve">Орган местного самоуправления </w:t>
      </w:r>
      <w:r>
        <w:rPr>
          <w:rFonts w:cs="Times New Roman" w:ascii="Times New Roman" w:hAnsi="Times New Roman"/>
        </w:rPr>
        <w:t>муниципального района (муниципального округа, городского округа)</w:t>
      </w:r>
      <w:r>
        <w:rPr>
          <w:rFonts w:cs="Times New Roman" w:ascii="Times New Roman" w:hAnsi="Times New Roman"/>
          <w:sz w:val="24"/>
          <w:szCs w:val="24"/>
        </w:rPr>
        <w:t xml:space="preserve"> размещает в сроки и порядке, установленные соглашением, в системе «Электронный бюджет Брянской области»:</w:t>
      </w:r>
    </w:p>
    <w:p>
      <w:pPr>
        <w:pStyle w:val="ConsPlusNormal"/>
        <w:ind w:firstLine="567"/>
        <w:jc w:val="both"/>
        <w:rPr>
          <w:rFonts w:ascii="Times New Roman" w:hAnsi="Times New Roman" w:cs="Times New Roman"/>
          <w:sz w:val="24"/>
          <w:szCs w:val="24"/>
        </w:rPr>
      </w:pPr>
      <w:r>
        <w:rPr>
          <w:rFonts w:cs="Times New Roman" w:ascii="Times New Roman" w:hAnsi="Times New Roman"/>
          <w:sz w:val="24"/>
          <w:szCs w:val="24"/>
        </w:rPr>
        <w:t xml:space="preserve">отчет о расходах бюджета </w:t>
      </w:r>
      <w:r>
        <w:rPr>
          <w:rFonts w:cs="Times New Roman" w:ascii="Times New Roman" w:hAnsi="Times New Roman"/>
        </w:rPr>
        <w:t>муниципального района (муниципального округа, городского округа)</w:t>
      </w:r>
      <w:r>
        <w:rPr>
          <w:rFonts w:cs="Times New Roman" w:ascii="Times New Roman" w:hAnsi="Times New Roman"/>
          <w:sz w:val="24"/>
          <w:szCs w:val="24"/>
        </w:rPr>
        <w:t>, в целях софинансирования которых предоставлена субсидия;</w:t>
      </w:r>
    </w:p>
    <w:p>
      <w:pPr>
        <w:pStyle w:val="ConsPlusNormal"/>
        <w:ind w:firstLine="567"/>
        <w:jc w:val="both"/>
        <w:rPr>
          <w:rFonts w:ascii="Times New Roman" w:hAnsi="Times New Roman" w:cs="Times New Roman"/>
          <w:sz w:val="24"/>
          <w:szCs w:val="24"/>
        </w:rPr>
      </w:pPr>
      <w:r>
        <w:rPr>
          <w:rFonts w:cs="Times New Roman" w:ascii="Times New Roman" w:hAnsi="Times New Roman"/>
          <w:sz w:val="24"/>
          <w:szCs w:val="24"/>
        </w:rPr>
        <w:t>отчет о достижении значения результата использования субсидии.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17. В случае если муниципальным районом (муниципальным округом, городским округом) по состоянию на 31 декабря года предоставления субсидии допущены нарушения обязательств, предусмотренных соглашением, в соответствии с подпунктом «б(1)» пункта 10 Правил формирования, предоставления и распределения субсидий и в срок до первой даты представления отчетности о достижении значения результата использования субсидии в соответствии с соглашением в году, следующем за годом предоставления субсидии, указанные нарушения не устранены, объем средств, подлежащий возврату из бюджета муниципального района (муниципального округа, городского округа) в областной бюджет, и срок возврата указанных средств определяются в соответствии с пунктами 16 - 18 Правил формирования, предоставления и распределения субсидий.</w:t>
      </w:r>
    </w:p>
    <w:p>
      <w:pPr>
        <w:pStyle w:val="ConsPlusNormal"/>
        <w:spacing w:before="220" w:after="0"/>
        <w:ind w:firstLine="540"/>
        <w:jc w:val="both"/>
        <w:rPr>
          <w:rFonts w:ascii="Times New Roman" w:hAnsi="Times New Roman" w:cs="Times New Roman"/>
        </w:rPr>
      </w:pPr>
      <w:r>
        <w:rPr>
          <w:rFonts w:cs="Times New Roman" w:ascii="Times New Roman" w:hAnsi="Times New Roman"/>
        </w:rPr>
        <w:t>Освобождение муниципального района (муниципального округа, городского округа) от применения мер ответственности, предусмотренных пунктом 16 Правил формирования, предоставления и распределения субсидий, в том числе возврата средств в доход областного бюджета, осуществляется в соответствии с пунктом 20 указанных Правил</w:t>
      </w:r>
    </w:p>
    <w:p>
      <w:pPr>
        <w:pStyle w:val="ConsPlusNormal"/>
        <w:spacing w:before="220" w:after="0"/>
        <w:ind w:firstLine="540"/>
        <w:jc w:val="both"/>
        <w:rPr>
          <w:rFonts w:ascii="Times New Roman" w:hAnsi="Times New Roman" w:cs="Times New Roman"/>
        </w:rPr>
      </w:pPr>
      <w:bookmarkStart w:id="2" w:name="_GoBack"/>
      <w:bookmarkEnd w:id="2"/>
      <w:r>
        <w:rPr>
          <w:rFonts w:cs="Times New Roman" w:ascii="Times New Roman" w:hAnsi="Times New Roman"/>
        </w:rPr>
        <w:t xml:space="preserve">18. В случае экономии средств областного бюджета, предусмотренных на исполнение расходных обязательств муниципального района (муниципального округа, городского округа), указанных в </w:t>
      </w:r>
      <w:hyperlink w:anchor="P11258">
        <w:r>
          <w:rPr>
            <w:rFonts w:cs="Times New Roman" w:ascii="Times New Roman" w:hAnsi="Times New Roman"/>
          </w:rPr>
          <w:t>пункте 2</w:t>
        </w:r>
      </w:hyperlink>
      <w:r>
        <w:rPr>
          <w:rFonts w:cs="Times New Roman" w:ascii="Times New Roman" w:hAnsi="Times New Roman"/>
        </w:rPr>
        <w:t xml:space="preserve"> настоящего Порядка, данные средства при имеющейся подтвержденной необходимости, по согласованию с департаментом и департаментом финансов Брянской области могут быть направлены муниципальным районом (муниципальным округом, городским округом) на цели, указанные в пункте 2 настоящего Порядка.</w:t>
      </w:r>
    </w:p>
    <w:p>
      <w:pPr>
        <w:pStyle w:val="ConsPlusNormal"/>
        <w:spacing w:before="220" w:after="0"/>
        <w:ind w:firstLine="540"/>
        <w:jc w:val="both"/>
        <w:rPr>
          <w:rFonts w:ascii="Times New Roman" w:hAnsi="Times New Roman" w:cs="Times New Roman"/>
        </w:rPr>
      </w:pPr>
      <w:r>
        <w:rPr>
          <w:rFonts w:cs="Times New Roman" w:ascii="Times New Roman" w:hAnsi="Times New Roman"/>
        </w:rPr>
        <w:t>19. В случае нецелевого использования субсидии муниципальным районом (муниципальным округом, городским округом) к нему применяются бюджетные меры принуждения, предусмотренные бюджетным законодательством Российской Федерации.</w:t>
      </w:r>
    </w:p>
    <w:p>
      <w:pPr>
        <w:pStyle w:val="ConsPlusNormal"/>
        <w:spacing w:before="220" w:after="0"/>
        <w:ind w:firstLine="540"/>
        <w:jc w:val="both"/>
        <w:rPr>
          <w:rFonts w:ascii="Times New Roman" w:hAnsi="Times New Roman" w:cs="Times New Roman"/>
        </w:rPr>
      </w:pPr>
      <w:r>
        <w:rPr>
          <w:rFonts w:cs="Times New Roman" w:ascii="Times New Roman" w:hAnsi="Times New Roman"/>
        </w:rPr>
        <w:t>20. Контроль за соблюдением муниципальным районом (муниципальным округом, городским округом) условий предоставления и расходования субсидии осуществляется департаментом.</w:t>
      </w:r>
    </w:p>
    <w:sectPr>
      <w:type w:val="nextPage"/>
      <w:pgSz w:w="11906" w:h="16838"/>
      <w:pgMar w:left="1701" w:right="851" w:header="0" w:top="851" w:footer="0" w:bottom="851" w:gutter="0"/>
      <w:pgNumType w:fmt="decimal"/>
      <w:formProt w:val="false"/>
      <w:textDirection w:val="lrTb"/>
      <w:docGrid w:type="default" w:linePitch="10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Courier New">
    <w:charset w:val="cc"/>
    <w:family w:val="roman"/>
    <w:pitch w:val="variable"/>
  </w:font>
  <w:font w:name="Tahoma">
    <w:charset w:val="cc"/>
    <w:family w:val="roman"/>
    <w:pitch w:val="variable"/>
  </w:font>
  <w:font w:name="Arial">
    <w:charset w:val="cc"/>
    <w:family w:val="roman"/>
    <w:pitch w:val="variable"/>
  </w:font>
  <w:font w:name="Times New Roman">
    <w:charset w:val="cc"/>
    <w:family w:val="roman"/>
    <w:pitch w:val="variable"/>
  </w:font>
</w:fonts>
</file>

<file path=word/settings.xml><?xml version="1.0" encoding="utf-8"?>
<w:settings xmlns:w="http://schemas.openxmlformats.org/wordprocessingml/2006/main">
  <w:zoom w:percent="100"/>
  <w:defaultTabStop w:val="708"/>
  <w:autoHyphenation w:val="tru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ru-RU" w:eastAsia="en-US" w:bidi="ar-SA"/>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bidi w:val="0"/>
      <w:spacing w:lineRule="auto" w:line="276" w:before="0" w:after="200"/>
      <w:jc w:val="left"/>
    </w:pPr>
    <w:rPr>
      <w:rFonts w:ascii="Calibri" w:hAnsi="Calibri" w:eastAsia="Calibri" w:cs="" w:asciiTheme="minorHAnsi" w:cstheme="minorBidi" w:eastAsiaTheme="minorHAnsi" w:hAnsiTheme="minorHAnsi"/>
      <w:color w:val="auto"/>
      <w:kern w:val="0"/>
      <w:sz w:val="22"/>
      <w:szCs w:val="22"/>
      <w:lang w:val="ru-RU" w:eastAsia="en-US" w:bidi="ar-SA"/>
    </w:rPr>
  </w:style>
  <w:style w:type="character" w:styleId="DefaultParagraphFont" w:default="1">
    <w:name w:val="Default Paragraph Font"/>
    <w:uiPriority w:val="1"/>
    <w:semiHidden/>
    <w:unhideWhenUsed/>
    <w:qFormat/>
    <w:rPr/>
  </w:style>
  <w:style w:type="character" w:styleId="Style14">
    <w:name w:val="Интернет-ссылка"/>
    <w:rPr>
      <w:color w:val="000080"/>
      <w:u w:val="single"/>
      <w:lang w:val="zxx" w:eastAsia="zxx" w:bidi="zxx"/>
    </w:rPr>
  </w:style>
  <w:style w:type="paragraph" w:styleId="Style15">
    <w:name w:val="Заголовок"/>
    <w:basedOn w:val="Normal"/>
    <w:next w:val="Style16"/>
    <w:qFormat/>
    <w:pPr>
      <w:keepNext w:val="true"/>
      <w:spacing w:before="240" w:after="120"/>
    </w:pPr>
    <w:rPr>
      <w:rFonts w:ascii="Liberation Sans" w:hAnsi="Liberation Sans" w:eastAsia="Microsoft YaHei" w:cs="Arial Unicode MS"/>
      <w:sz w:val="28"/>
      <w:szCs w:val="28"/>
    </w:rPr>
  </w:style>
  <w:style w:type="paragraph" w:styleId="Style16">
    <w:name w:val="Body Text"/>
    <w:basedOn w:val="Normal"/>
    <w:pPr>
      <w:spacing w:lineRule="auto" w:line="276" w:before="0" w:after="140"/>
    </w:pPr>
    <w:rPr/>
  </w:style>
  <w:style w:type="paragraph" w:styleId="Style17">
    <w:name w:val="List"/>
    <w:basedOn w:val="Style16"/>
    <w:pPr/>
    <w:rPr>
      <w:rFonts w:cs="Arial Unicode MS"/>
    </w:rPr>
  </w:style>
  <w:style w:type="paragraph" w:styleId="Style18">
    <w:name w:val="Caption"/>
    <w:basedOn w:val="Normal"/>
    <w:qFormat/>
    <w:pPr>
      <w:suppressLineNumbers/>
      <w:spacing w:before="120" w:after="120"/>
    </w:pPr>
    <w:rPr>
      <w:rFonts w:cs="Arial Unicode MS"/>
      <w:i/>
      <w:iCs/>
      <w:sz w:val="24"/>
      <w:szCs w:val="24"/>
    </w:rPr>
  </w:style>
  <w:style w:type="paragraph" w:styleId="Style19">
    <w:name w:val="Указатель"/>
    <w:basedOn w:val="Normal"/>
    <w:qFormat/>
    <w:pPr>
      <w:suppressLineNumbers/>
    </w:pPr>
    <w:rPr>
      <w:rFonts w:cs="Arial Unicode MS"/>
    </w:rPr>
  </w:style>
  <w:style w:type="paragraph" w:styleId="ConsPlusNormal" w:customStyle="1">
    <w:name w:val="ConsPlusNormal"/>
    <w:qFormat/>
    <w:rsid w:val="002309d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Nonformat" w:customStyle="1">
    <w:name w:val="ConsPlusNonformat"/>
    <w:qFormat/>
    <w:rsid w:val="002309da"/>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Title" w:customStyle="1">
    <w:name w:val="ConsPlusTitle"/>
    <w:qFormat/>
    <w:rsid w:val="002309da"/>
    <w:pPr>
      <w:widowControl w:val="false"/>
      <w:bidi w:val="0"/>
      <w:spacing w:lineRule="auto" w:line="240" w:before="0" w:after="0"/>
      <w:jc w:val="left"/>
    </w:pPr>
    <w:rPr>
      <w:rFonts w:ascii="Calibri" w:hAnsi="Calibri" w:eastAsia="Times New Roman" w:cs="Calibri" w:asciiTheme="minorHAnsi" w:hAnsiTheme="minorHAnsi"/>
      <w:b/>
      <w:color w:val="auto"/>
      <w:kern w:val="0"/>
      <w:sz w:val="22"/>
      <w:szCs w:val="20"/>
      <w:lang w:eastAsia="ru-RU" w:val="ru-RU" w:bidi="ar-SA"/>
    </w:rPr>
  </w:style>
  <w:style w:type="paragraph" w:styleId="ConsPlusCell" w:customStyle="1">
    <w:name w:val="ConsPlusCell"/>
    <w:qFormat/>
    <w:rsid w:val="002309da"/>
    <w:pPr>
      <w:widowControl w:val="false"/>
      <w:bidi w:val="0"/>
      <w:spacing w:lineRule="auto" w:line="240" w:before="0" w:after="0"/>
      <w:jc w:val="left"/>
    </w:pPr>
    <w:rPr>
      <w:rFonts w:ascii="Courier New" w:hAnsi="Courier New" w:eastAsia="Times New Roman" w:cs="Courier New"/>
      <w:color w:val="auto"/>
      <w:kern w:val="0"/>
      <w:sz w:val="20"/>
      <w:szCs w:val="20"/>
      <w:lang w:eastAsia="ru-RU" w:val="ru-RU" w:bidi="ar-SA"/>
    </w:rPr>
  </w:style>
  <w:style w:type="paragraph" w:styleId="ConsPlusDocList" w:customStyle="1">
    <w:name w:val="ConsPlusDocList"/>
    <w:qFormat/>
    <w:rsid w:val="002309da"/>
    <w:pPr>
      <w:widowControl w:val="false"/>
      <w:bidi w:val="0"/>
      <w:spacing w:lineRule="auto" w:line="240" w:before="0" w:after="0"/>
      <w:jc w:val="left"/>
    </w:pPr>
    <w:rPr>
      <w:rFonts w:ascii="Calibri" w:hAnsi="Calibri" w:eastAsia="Times New Roman" w:cs="Calibri" w:asciiTheme="minorHAnsi" w:hAnsiTheme="minorHAnsi"/>
      <w:color w:val="auto"/>
      <w:kern w:val="0"/>
      <w:sz w:val="22"/>
      <w:szCs w:val="20"/>
      <w:lang w:eastAsia="ru-RU" w:val="ru-RU" w:bidi="ar-SA"/>
    </w:rPr>
  </w:style>
  <w:style w:type="paragraph" w:styleId="ConsPlusTitlePage" w:customStyle="1">
    <w:name w:val="ConsPlusTitlePage"/>
    <w:qFormat/>
    <w:rsid w:val="002309da"/>
    <w:pPr>
      <w:widowControl w:val="false"/>
      <w:bidi w:val="0"/>
      <w:spacing w:lineRule="auto" w:line="240" w:before="0" w:after="0"/>
      <w:jc w:val="left"/>
    </w:pPr>
    <w:rPr>
      <w:rFonts w:ascii="Tahoma" w:hAnsi="Tahoma" w:eastAsia="Times New Roman" w:cs="Tahoma"/>
      <w:color w:val="auto"/>
      <w:kern w:val="0"/>
      <w:sz w:val="20"/>
      <w:szCs w:val="20"/>
      <w:lang w:eastAsia="ru-RU" w:val="ru-RU" w:bidi="ar-SA"/>
    </w:rPr>
  </w:style>
  <w:style w:type="paragraph" w:styleId="ConsPlusJurTerm" w:customStyle="1">
    <w:name w:val="ConsPlusJurTerm"/>
    <w:qFormat/>
    <w:rsid w:val="002309da"/>
    <w:pPr>
      <w:widowControl w:val="false"/>
      <w:bidi w:val="0"/>
      <w:spacing w:lineRule="auto" w:line="240" w:before="0" w:after="0"/>
      <w:jc w:val="left"/>
    </w:pPr>
    <w:rPr>
      <w:rFonts w:ascii="Tahoma" w:hAnsi="Tahoma" w:eastAsia="Times New Roman" w:cs="Tahoma"/>
      <w:color w:val="auto"/>
      <w:kern w:val="0"/>
      <w:sz w:val="26"/>
      <w:szCs w:val="20"/>
      <w:lang w:eastAsia="ru-RU" w:val="ru-RU" w:bidi="ar-SA"/>
    </w:rPr>
  </w:style>
  <w:style w:type="paragraph" w:styleId="ConsPlusTextList" w:customStyle="1">
    <w:name w:val="ConsPlusTextList"/>
    <w:qFormat/>
    <w:rsid w:val="002309da"/>
    <w:pPr>
      <w:widowControl w:val="false"/>
      <w:bidi w:val="0"/>
      <w:spacing w:lineRule="auto" w:line="240" w:before="0" w:after="0"/>
      <w:jc w:val="left"/>
    </w:pPr>
    <w:rPr>
      <w:rFonts w:ascii="Arial" w:hAnsi="Arial" w:eastAsia="Times New Roman" w:cs="Arial"/>
      <w:color w:val="auto"/>
      <w:kern w:val="0"/>
      <w:sz w:val="20"/>
      <w:szCs w:val="20"/>
      <w:lang w:eastAsia="ru-RU" w:val="ru-RU" w:bidi="ar-SA"/>
    </w:rPr>
  </w:style>
  <w:style w:type="numbering" w:styleId="NoList" w:default="1">
    <w:name w:val="No List"/>
    <w:uiPriority w:val="99"/>
    <w:semiHidden/>
    <w:unhideWhenUsed/>
    <w:qFormat/>
  </w:style>
  <w:style w:type="table" w:default="1" w:styleId="a1">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image" Target="media/image2.wmf"/><Relationship Id="rId4" Type="http://schemas.openxmlformats.org/officeDocument/2006/relationships/hyperlink" Target="consultantplus://offline/ref=96459022ABE20A108D85BEE2D3621143054DC5C34EB627EA0B6C35846B7A5EF7567D56887C1E679CEB92C6F040A7EEAEs8qEF" TargetMode="External"/><Relationship Id="rId5" Type="http://schemas.openxmlformats.org/officeDocument/2006/relationships/hyperlink" Target="consultantplus://offline/ref=96459022ABE20A108D85A0EFC50E4D4E074298C849BE2EBA52336ED93C7354A0033257D43948749CE892C5F05CsAq5F" TargetMode="External"/><Relationship Id="rId6" Type="http://schemas.openxmlformats.org/officeDocument/2006/relationships/hyperlink" Target="consultantplus://offline/ref=96459022ABE20A108D85BEE2D3621143054DC5C34EB520EB0F6C35846B7A5EF7567D569A7C466B9DE88CC3F055F1BFE8DB7976766ECB33022F6DD0sAq0F" TargetMode="External"/><Relationship Id="rId7" Type="http://schemas.openxmlformats.org/officeDocument/2006/relationships/hyperlink" Target="consultantplus://offline/ref=96459022ABE20A108D85BEE2D3621143054DC5C34EB520EB0F6C35846B7A5EF7567D569A7C466B9DE88CC4F455F1BFE8DB7976766ECB33022F6DD0sAq0F" TargetMode="External"/><Relationship Id="rId8" Type="http://schemas.openxmlformats.org/officeDocument/2006/relationships/hyperlink" Target="consultantplus://offline/ref=96459022ABE20A108D85BEE2D3621143054DC5C34EB520EB0F6C35846B7A5EF7567D569A7C466B9DE88CC4F555F1BFE8DB7976766ECB33022F6DD0sAq0F" TargetMode="Externa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Application>LibreOffice/7.0.1.2$Windows_X86_64 LibreOffice_project/7cbcfc562f6eb6708b5ff7d7397325de9e764452</Application>
  <Pages>3</Pages>
  <Words>1119</Words>
  <Characters>9085</Characters>
  <CharactersWithSpaces>10163</CharactersWithSpaces>
  <Paragraphs>43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2021-10-01T14:23:00Z</dcterms:created>
  <dc:creator>User</dc:creator>
  <dc:description/>
  <dc:language>ru-RU</dc:language>
  <cp:lastModifiedBy>User</cp:lastModifiedBy>
  <dcterms:modified xsi:type="dcterms:W3CDTF">2021-10-02T11:01:00Z</dcterms:modified>
  <cp:revision>3</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